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1422400" cy="42672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3007" cy="426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</w:p>
    <w:p>
      <w:pPr>
        <w:rPr>
          <w:sz w:val="28"/>
          <w:szCs w:val="28"/>
        </w:rPr>
      </w:pPr>
      <w:r>
        <w:rPr>
          <w:b/>
          <w:bCs/>
          <w:sz w:val="28"/>
          <w:szCs w:val="28"/>
        </w:rPr>
        <w:t>Fourniture de sources radioactives scellées - Médecine nucléaire – Contrôles qualité et étalonnages</w:t>
      </w:r>
    </w:p>
    <w:p>
      <w:pPr>
        <w:ind w:left="2832" w:firstLine="708"/>
        <w:rPr>
          <w:rFonts w:ascii="Trebuchet MS" w:eastAsia="Trebuchet MS" w:hAnsi="Trebuchet MS" w:cs="Trebuchet MS"/>
          <w:b/>
          <w:sz w:val="28"/>
        </w:rPr>
      </w:pPr>
    </w:p>
    <w:p>
      <w:pPr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Marché N° 2026 – 13</w:t>
      </w:r>
    </w:p>
    <w:p>
      <w:pPr>
        <w:ind w:left="2124" w:firstLine="708"/>
        <w:rPr>
          <w:rFonts w:ascii="Trebuchet MS" w:eastAsia="Trebuchet MS" w:hAnsi="Trebuchet MS" w:cs="Trebuchet MS"/>
          <w:b/>
          <w:sz w:val="28"/>
        </w:rPr>
      </w:pPr>
      <w:r>
        <w:rPr>
          <w:rFonts w:ascii="Trebuchet MS" w:eastAsia="Trebuchet MS" w:hAnsi="Trebuchet MS" w:cs="Trebuchet MS"/>
          <w:b/>
          <w:sz w:val="28"/>
        </w:rPr>
        <w:t xml:space="preserve">      </w:t>
      </w:r>
    </w:p>
    <w:p>
      <w:pPr>
        <w:ind w:left="2124" w:firstLine="708"/>
        <w:rPr>
          <w:rFonts w:ascii="Trebuchet MS" w:eastAsia="Trebuchet MS" w:hAnsi="Trebuchet MS" w:cs="Trebuchet MS"/>
          <w:b/>
          <w:sz w:val="28"/>
        </w:rPr>
      </w:pPr>
      <w:r>
        <w:rPr>
          <w:rFonts w:ascii="Trebuchet MS" w:eastAsia="Trebuchet MS" w:hAnsi="Trebuchet MS" w:cs="Trebuchet MS"/>
          <w:b/>
          <w:sz w:val="28"/>
        </w:rPr>
        <w:t xml:space="preserve">      </w:t>
      </w:r>
      <w:r>
        <w:rPr>
          <w:rFonts w:ascii="Trebuchet MS" w:eastAsia="Trebuchet MS" w:hAnsi="Trebuchet MS" w:cs="Trebuchet MS"/>
          <w:b/>
          <w:sz w:val="24"/>
          <w:szCs w:val="20"/>
        </w:rPr>
        <w:t xml:space="preserve">Bordereau de prix </w:t>
      </w:r>
    </w:p>
    <w:p>
      <w:pPr>
        <w:jc w:val="center"/>
        <w:rPr>
          <w:b/>
          <w:noProof/>
          <w:sz w:val="28"/>
          <w:szCs w:val="28"/>
        </w:rPr>
      </w:pPr>
    </w:p>
    <w:p>
      <w:pPr>
        <w:pStyle w:val="NormalWeb"/>
        <w:spacing w:before="0" w:beforeAutospacing="0" w:after="0" w:afterAutospacing="0"/>
      </w:pPr>
      <w:r>
        <w:rPr>
          <w:rFonts w:asciiTheme="minorHAnsi" w:hAnsiTheme="minorHAnsi" w:cstheme="minorHAnsi"/>
          <w:b/>
          <w:bCs/>
        </w:rPr>
        <w:t>1. Fournitures de sources radioactives scellées</w:t>
      </w:r>
    </w:p>
    <w:p/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"/>
        <w:gridCol w:w="2022"/>
        <w:gridCol w:w="1551"/>
        <w:gridCol w:w="1590"/>
        <w:gridCol w:w="879"/>
        <w:gridCol w:w="1426"/>
      </w:tblGrid>
      <w:tr>
        <w:trPr>
          <w:tblCellSpacing w:w="0" w:type="dxa"/>
          <w:jc w:val="center"/>
        </w:trPr>
        <w:tc>
          <w:tcPr>
            <w:tcW w:w="3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N°</w:t>
            </w:r>
          </w:p>
        </w:tc>
        <w:tc>
          <w:tcPr>
            <w:tcW w:w="20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Désignation</w:t>
            </w:r>
          </w:p>
        </w:tc>
        <w:tc>
          <w:tcPr>
            <w:tcW w:w="1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Radionucléide</w:t>
            </w:r>
          </w:p>
        </w:tc>
        <w:tc>
          <w:tcPr>
            <w:tcW w:w="15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Usage principal</w:t>
            </w:r>
          </w:p>
        </w:tc>
        <w:tc>
          <w:tcPr>
            <w:tcW w:w="8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Unité</w:t>
            </w:r>
          </w:p>
        </w:tc>
        <w:tc>
          <w:tcPr>
            <w:tcW w:w="1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Prix unitaire HT (€)</w:t>
            </w:r>
          </w:p>
        </w:tc>
      </w:tr>
      <w:tr>
        <w:trPr>
          <w:tblCellSpacing w:w="0" w:type="dxa"/>
          <w:jc w:val="center"/>
        </w:trPr>
        <w:tc>
          <w:tcPr>
            <w:tcW w:w="3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0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Source scellée calibrée</w:t>
            </w:r>
          </w:p>
        </w:tc>
        <w:tc>
          <w:tcPr>
            <w:tcW w:w="1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Cobalt 57</w:t>
            </w:r>
          </w:p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Galette</w:t>
            </w:r>
          </w:p>
        </w:tc>
        <w:tc>
          <w:tcPr>
            <w:tcW w:w="15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CQ gamma-caméra semi conducteur</w:t>
            </w:r>
          </w:p>
        </w:tc>
        <w:tc>
          <w:tcPr>
            <w:tcW w:w="8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Unité</w:t>
            </w:r>
          </w:p>
        </w:tc>
        <w:tc>
          <w:tcPr>
            <w:tcW w:w="1426" w:type="dxa"/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</w:p>
        </w:tc>
      </w:tr>
      <w:tr>
        <w:trPr>
          <w:tblCellSpacing w:w="0" w:type="dxa"/>
          <w:jc w:val="center"/>
        </w:trPr>
        <w:tc>
          <w:tcPr>
            <w:tcW w:w="3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0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Source scellée calibrée</w:t>
            </w:r>
          </w:p>
        </w:tc>
        <w:tc>
          <w:tcPr>
            <w:tcW w:w="1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Cobalt 57</w:t>
            </w:r>
          </w:p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Galette</w:t>
            </w:r>
          </w:p>
        </w:tc>
        <w:tc>
          <w:tcPr>
            <w:tcW w:w="15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CQ gamma-caméra à scintillation</w:t>
            </w:r>
          </w:p>
        </w:tc>
        <w:tc>
          <w:tcPr>
            <w:tcW w:w="8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Unité</w:t>
            </w:r>
          </w:p>
        </w:tc>
        <w:tc>
          <w:tcPr>
            <w:tcW w:w="1426" w:type="dxa"/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</w:p>
        </w:tc>
      </w:tr>
      <w:tr>
        <w:trPr>
          <w:tblCellSpacing w:w="0" w:type="dxa"/>
          <w:jc w:val="center"/>
        </w:trPr>
        <w:tc>
          <w:tcPr>
            <w:tcW w:w="3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Source scellée calibrée</w:t>
            </w:r>
          </w:p>
        </w:tc>
        <w:tc>
          <w:tcPr>
            <w:tcW w:w="1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Cobalt 57</w:t>
            </w:r>
          </w:p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Crayon</w:t>
            </w:r>
          </w:p>
        </w:tc>
        <w:tc>
          <w:tcPr>
            <w:tcW w:w="15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CQ sonde peropératoire</w:t>
            </w:r>
          </w:p>
        </w:tc>
        <w:tc>
          <w:tcPr>
            <w:tcW w:w="8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Unité</w:t>
            </w:r>
          </w:p>
        </w:tc>
        <w:tc>
          <w:tcPr>
            <w:tcW w:w="1426" w:type="dxa"/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</w:p>
        </w:tc>
      </w:tr>
      <w:tr>
        <w:trPr>
          <w:tblCellSpacing w:w="0" w:type="dxa"/>
          <w:jc w:val="center"/>
        </w:trPr>
        <w:tc>
          <w:tcPr>
            <w:tcW w:w="3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0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Source scellée calibrée</w:t>
            </w:r>
          </w:p>
        </w:tc>
        <w:tc>
          <w:tcPr>
            <w:tcW w:w="1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Cobalt 57</w:t>
            </w:r>
          </w:p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Flacon</w:t>
            </w:r>
          </w:p>
        </w:tc>
        <w:tc>
          <w:tcPr>
            <w:tcW w:w="15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CQ injecteurs</w:t>
            </w:r>
          </w:p>
        </w:tc>
        <w:tc>
          <w:tcPr>
            <w:tcW w:w="8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Unité</w:t>
            </w:r>
          </w:p>
        </w:tc>
        <w:tc>
          <w:tcPr>
            <w:tcW w:w="1426" w:type="dxa"/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</w:p>
        </w:tc>
      </w:tr>
      <w:tr>
        <w:trPr>
          <w:tblCellSpacing w:w="0" w:type="dxa"/>
          <w:jc w:val="center"/>
        </w:trPr>
        <w:tc>
          <w:tcPr>
            <w:tcW w:w="3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0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Source scellée calibrée</w:t>
            </w:r>
          </w:p>
        </w:tc>
        <w:tc>
          <w:tcPr>
            <w:tcW w:w="1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Gemanium 68</w:t>
            </w:r>
          </w:p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Fantôme annulaire</w:t>
            </w:r>
          </w:p>
        </w:tc>
        <w:tc>
          <w:tcPr>
            <w:tcW w:w="15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CQ PET</w:t>
            </w:r>
          </w:p>
        </w:tc>
        <w:tc>
          <w:tcPr>
            <w:tcW w:w="8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Unité</w:t>
            </w:r>
          </w:p>
        </w:tc>
        <w:tc>
          <w:tcPr>
            <w:tcW w:w="1426" w:type="dxa"/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</w:p>
        </w:tc>
      </w:tr>
      <w:tr>
        <w:trPr>
          <w:tblCellSpacing w:w="0" w:type="dxa"/>
          <w:jc w:val="center"/>
        </w:trPr>
        <w:tc>
          <w:tcPr>
            <w:tcW w:w="3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0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Source scellée calibrée</w:t>
            </w:r>
          </w:p>
        </w:tc>
        <w:tc>
          <w:tcPr>
            <w:tcW w:w="1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Gemanium 68</w:t>
            </w:r>
          </w:p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Fantôme en mousse</w:t>
            </w:r>
          </w:p>
        </w:tc>
        <w:tc>
          <w:tcPr>
            <w:tcW w:w="15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CQ PET</w:t>
            </w:r>
          </w:p>
        </w:tc>
        <w:tc>
          <w:tcPr>
            <w:tcW w:w="8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Unité</w:t>
            </w:r>
          </w:p>
        </w:tc>
        <w:tc>
          <w:tcPr>
            <w:tcW w:w="1426" w:type="dxa"/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</w:p>
        </w:tc>
      </w:tr>
      <w:tr>
        <w:trPr>
          <w:tblCellSpacing w:w="0" w:type="dxa"/>
          <w:jc w:val="center"/>
        </w:trPr>
        <w:tc>
          <w:tcPr>
            <w:tcW w:w="3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0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Source scellée calibrée</w:t>
            </w:r>
          </w:p>
        </w:tc>
        <w:tc>
          <w:tcPr>
            <w:tcW w:w="1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Césium 137</w:t>
            </w:r>
          </w:p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Flacon</w:t>
            </w:r>
          </w:p>
        </w:tc>
        <w:tc>
          <w:tcPr>
            <w:tcW w:w="15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Activimètre</w:t>
            </w:r>
          </w:p>
        </w:tc>
        <w:tc>
          <w:tcPr>
            <w:tcW w:w="8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Unité</w:t>
            </w:r>
          </w:p>
        </w:tc>
        <w:tc>
          <w:tcPr>
            <w:tcW w:w="1426" w:type="dxa"/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</w:p>
        </w:tc>
      </w:tr>
      <w:tr>
        <w:trPr>
          <w:tblCellSpacing w:w="0" w:type="dxa"/>
          <w:jc w:val="center"/>
        </w:trPr>
        <w:tc>
          <w:tcPr>
            <w:tcW w:w="3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0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Source scellée calibrée</w:t>
            </w:r>
          </w:p>
        </w:tc>
        <w:tc>
          <w:tcPr>
            <w:tcW w:w="1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Barium 133</w:t>
            </w:r>
          </w:p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Flacon</w:t>
            </w:r>
          </w:p>
        </w:tc>
        <w:tc>
          <w:tcPr>
            <w:tcW w:w="15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Activimètre</w:t>
            </w:r>
          </w:p>
        </w:tc>
        <w:tc>
          <w:tcPr>
            <w:tcW w:w="8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Unité</w:t>
            </w:r>
          </w:p>
        </w:tc>
        <w:tc>
          <w:tcPr>
            <w:tcW w:w="1426" w:type="dxa"/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</w:p>
        </w:tc>
      </w:tr>
      <w:tr>
        <w:trPr>
          <w:tblCellSpacing w:w="0" w:type="dxa"/>
          <w:jc w:val="center"/>
        </w:trPr>
        <w:tc>
          <w:tcPr>
            <w:tcW w:w="3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0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Source scellée calibrée</w:t>
            </w:r>
          </w:p>
        </w:tc>
        <w:tc>
          <w:tcPr>
            <w:tcW w:w="1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Autre (A préciser)</w:t>
            </w:r>
          </w:p>
        </w:tc>
        <w:tc>
          <w:tcPr>
            <w:tcW w:w="15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 préciser</w:t>
            </w:r>
          </w:p>
        </w:tc>
        <w:tc>
          <w:tcPr>
            <w:tcW w:w="8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Unité</w:t>
            </w:r>
          </w:p>
        </w:tc>
        <w:tc>
          <w:tcPr>
            <w:tcW w:w="1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/>
    <w:p>
      <w:r>
        <w:t>Les prix seront exprimés en euros HT et comprendront l’ensemble des sujétions prévues au CCTP.</w:t>
      </w:r>
    </w:p>
    <w:p/>
    <w:p/>
    <w:p/>
    <w:p/>
    <w:p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2. Prestations incluses</w:t>
      </w:r>
    </w:p>
    <w:p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</w:p>
    <w:p>
      <w:pPr>
        <w:pStyle w:val="NormalWeb"/>
        <w:spacing w:before="0" w:beforeAutospacing="0" w:after="0" w:afterAutospacing="0"/>
        <w:ind w:left="225" w:hanging="2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Les prestations suivantes sont réputées incluses dans le prix unitaire des sources :</w:t>
      </w:r>
    </w:p>
    <w:p>
      <w:pPr>
        <w:pStyle w:val="NormalWeb"/>
        <w:spacing w:before="0" w:beforeAutospacing="0" w:after="0" w:afterAutospacing="0"/>
        <w:ind w:left="225" w:hanging="225"/>
        <w:rPr>
          <w:rFonts w:asciiTheme="minorHAnsi" w:hAnsiTheme="minorHAnsi" w:cstheme="minorHAnsi"/>
        </w:rPr>
      </w:pPr>
    </w:p>
    <w:p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</w:rPr>
        <w:t>Calibration de la source,</w:t>
      </w:r>
    </w:p>
    <w:p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</w:rPr>
        <w:t>Fourniture du certificat de calibration,</w:t>
      </w:r>
    </w:p>
    <w:p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</w:rPr>
        <w:t>Transport réglementé et livraison sur site,</w:t>
      </w:r>
    </w:p>
    <w:p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</w:rPr>
        <w:t>Fourniture des documents réglementaires,</w:t>
      </w:r>
    </w:p>
    <w:p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</w:rPr>
        <w:t>Assistance technique de premier niveau.</w:t>
      </w:r>
    </w:p>
    <w:p>
      <w:pPr>
        <w:rPr>
          <w:rFonts w:asciiTheme="minorHAnsi" w:hAnsiTheme="minorHAnsi" w:cstheme="minorHAnsi"/>
        </w:rPr>
      </w:pPr>
    </w:p>
    <w:p>
      <w:pPr>
        <w:pStyle w:val="NormalWeb"/>
        <w:spacing w:before="0" w:beforeAutospacing="0" w:after="0" w:afterAutospacing="0"/>
      </w:pPr>
      <w:r>
        <w:rPr>
          <w:b/>
          <w:bCs/>
        </w:rPr>
        <w:t>3. Reprise des sources en fin de vie</w:t>
      </w:r>
    </w:p>
    <w:p>
      <w:pPr>
        <w:pStyle w:val="NormalWeb"/>
        <w:spacing w:before="0" w:beforeAutospacing="0" w:after="0" w:afterAutospacing="0"/>
        <w:rPr>
          <w:rFonts w:ascii="system-ui" w:hAnsi="system-ui"/>
          <w:sz w:val="33"/>
          <w:szCs w:val="33"/>
        </w:rPr>
      </w:pPr>
    </w:p>
    <w:tbl>
      <w:tblPr>
        <w:tblW w:w="920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"/>
        <w:gridCol w:w="6581"/>
        <w:gridCol w:w="1041"/>
        <w:gridCol w:w="1189"/>
      </w:tblGrid>
      <w:tr>
        <w:trPr>
          <w:trHeight w:val="652"/>
          <w:tblCellSpacing w:w="0" w:type="dxa"/>
        </w:trPr>
        <w:tc>
          <w:tcPr>
            <w:tcW w:w="3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N°5</w:t>
            </w:r>
          </w:p>
        </w:tc>
        <w:tc>
          <w:tcPr>
            <w:tcW w:w="65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Désignation</w:t>
            </w:r>
          </w:p>
        </w:tc>
        <w:tc>
          <w:tcPr>
            <w:tcW w:w="10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Unité</w:t>
            </w:r>
          </w:p>
        </w:tc>
        <w:tc>
          <w:tcPr>
            <w:tcW w:w="11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pStyle w:val="NormalWeb"/>
              <w:spacing w:before="0" w:beforeAutospacing="0" w:after="180" w:afterAutospacing="0"/>
              <w:ind w:left="8" w:righ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Prix unitaire HT (€)</w:t>
            </w:r>
          </w:p>
        </w:tc>
      </w:tr>
      <w:tr>
        <w:trPr>
          <w:tblCellSpacing w:w="0" w:type="dxa"/>
        </w:trPr>
        <w:tc>
          <w:tcPr>
            <w:tcW w:w="3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65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Reprise d’une source scellée en fin d’utilisation ou mise en décroissance</w:t>
            </w:r>
          </w:p>
        </w:tc>
        <w:tc>
          <w:tcPr>
            <w:tcW w:w="10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Unité</w:t>
            </w:r>
          </w:p>
        </w:tc>
        <w:tc>
          <w:tcPr>
            <w:tcW w:w="1189" w:type="dxa"/>
            <w:vAlign w:val="center"/>
          </w:tcPr>
          <w:p>
            <w:pPr>
              <w:pStyle w:val="NormalWeb"/>
              <w:spacing w:before="0" w:beforeAutospacing="0" w:after="180" w:afterAutospacing="0"/>
              <w:ind w:left="8" w:right="8"/>
              <w:rPr>
                <w:rFonts w:asciiTheme="minorHAnsi" w:hAnsiTheme="minorHAnsi" w:cstheme="minorHAnsi"/>
              </w:rPr>
            </w:pPr>
          </w:p>
        </w:tc>
      </w:tr>
    </w:tbl>
    <w:p>
      <w:pPr>
        <w:pStyle w:val="NormalWeb"/>
        <w:spacing w:before="0" w:beforeAutospacing="0" w:after="224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</w:p>
    <w:p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4. Dispositions générales</w:t>
      </w:r>
    </w:p>
    <w:p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</w:p>
    <w:p>
      <w:pPr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</w:rPr>
        <w:t>Les quantités sont commandées par bons de commande selon les besoins du service.</w:t>
      </w:r>
    </w:p>
    <w:p>
      <w:pPr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</w:rPr>
        <w:t>Les prix sont fermes pendant la durée initiale du marché (ou révisables selon CCAP).</w:t>
      </w:r>
    </w:p>
    <w:p>
      <w:pPr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</w:rPr>
        <w:t>Toute prestation non incluse devra faire l’objet d’un devis préalable accepté par le pouvoir adjudicateur.</w:t>
      </w:r>
    </w:p>
    <w:p>
      <w:pPr>
        <w:rPr>
          <w:rFonts w:asciiTheme="minorHAnsi" w:eastAsia="Times New Roman" w:hAnsiTheme="minorHAnsi" w:cstheme="minorHAnsi"/>
        </w:rPr>
      </w:pPr>
    </w:p>
    <w:p>
      <w:pPr>
        <w:rPr>
          <w:rFonts w:asciiTheme="minorHAnsi" w:eastAsia="Times New Roman" w:hAnsiTheme="minorHAnsi" w:cstheme="minorHAnsi"/>
        </w:rPr>
      </w:pPr>
    </w:p>
    <w:p>
      <w:pPr>
        <w:rPr>
          <w:rFonts w:asciiTheme="minorHAnsi" w:eastAsia="Times New Roman" w:hAnsiTheme="minorHAnsi" w:cstheme="minorHAnsi"/>
          <w:b/>
          <w:bCs/>
        </w:rPr>
      </w:pPr>
      <w:r>
        <w:rPr>
          <w:rFonts w:asciiTheme="minorHAnsi" w:eastAsia="Times New Roman" w:hAnsiTheme="minorHAnsi" w:cstheme="minorHAnsi"/>
          <w:b/>
          <w:bCs/>
        </w:rPr>
        <w:t xml:space="preserve">5. Prestations complémentaires </w:t>
      </w:r>
    </w:p>
    <w:p>
      <w:pPr>
        <w:rPr>
          <w:rFonts w:asciiTheme="minorHAnsi" w:eastAsia="Times New Roman" w:hAnsiTheme="minorHAnsi" w:cstheme="minorHAnsi"/>
        </w:rPr>
      </w:pPr>
    </w:p>
    <w:p>
      <w:pPr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Enfin pour compléter l’offre, le candidat pourra proposer des prestations complémentaires associés à son catalogue.</w:t>
      </w:r>
    </w:p>
    <w:p>
      <w:pPr>
        <w:rPr>
          <w:rFonts w:asciiTheme="minorHAnsi" w:eastAsia="Times New Roman" w:hAnsiTheme="minorHAnsi" w:cstheme="minorHAnsi"/>
        </w:rPr>
      </w:pPr>
    </w:p>
    <w:p>
      <w:pPr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</w:rPr>
        <w:t xml:space="preserve">Il pourra proposer également une remise globale sur son catalogue. </w:t>
      </w:r>
    </w:p>
    <w:sectPr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stem-u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0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 : 2026- </w:t>
          </w:r>
          <w:r>
            <w:rPr>
              <w:color w:val="000000"/>
              <w:shd w:val="clear" w:color="auto" w:fill="FFFFFF" w:themeFill="background1"/>
              <w:lang w:val="fr-FR"/>
            </w:rPr>
            <w:t>07 D</w:t>
          </w:r>
          <w:r>
            <w:rPr>
              <w:color w:val="000000"/>
              <w:lang w:val="fr-FR"/>
            </w:rPr>
            <w:t>PIMS/Département biomédical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0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3</w:t>
          </w:r>
          <w:r>
            <w:rPr>
              <w:color w:val="000000"/>
              <w:lang w:val="fr-FR"/>
            </w:rPr>
            <w:fldChar w:fldCharType="end"/>
          </w:r>
        </w:p>
      </w:tc>
    </w:tr>
  </w:tbl>
  <w:p>
    <w:pPr>
      <w:pStyle w:val="Pieddepage"/>
    </w:pPr>
  </w:p>
  <w:p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F4259"/>
    <w:multiLevelType w:val="multilevel"/>
    <w:tmpl w:val="2A882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9B3C5B"/>
    <w:multiLevelType w:val="multilevel"/>
    <w:tmpl w:val="559E0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761DA8B5-3E5D-458C-96A9-D3C83D279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Calibri" w:hAnsi="Calibri" w:cs="Calibri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hAnsi="Calibri" w:cs="Calibri"/>
      <w:lang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hAnsi="Calibri" w:cs="Calibri"/>
      <w:lang w:eastAsia="fr-FR"/>
    </w:rPr>
  </w:style>
  <w:style w:type="paragraph" w:customStyle="1" w:styleId="PiedDePage0">
    <w:name w:val="PiedDePage"/>
    <w:basedOn w:val="Normal"/>
    <w:next w:val="Normal"/>
    <w:qFormat/>
    <w:rPr>
      <w:rFonts w:ascii="Trebuchet MS" w:eastAsia="Trebuchet MS" w:hAnsi="Trebuchet MS" w:cs="Trebuchet MS"/>
      <w:sz w:val="1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309</Words>
  <Characters>1704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Besancon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Emmanuel BERENGER</dc:creator>
  <cp:keywords/>
  <dc:description/>
  <cp:lastModifiedBy>Marie BLANDIN (CHUB)</cp:lastModifiedBy>
  <cp:revision>5</cp:revision>
  <dcterms:created xsi:type="dcterms:W3CDTF">2026-02-02T13:36:00Z</dcterms:created>
  <dcterms:modified xsi:type="dcterms:W3CDTF">2026-03-26T08:35:00Z</dcterms:modified>
</cp:coreProperties>
</file>